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E8C8" w14:textId="1D549F45" w:rsidR="008D4A4A" w:rsidRPr="008D4A4A" w:rsidRDefault="00CA28EE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noProof/>
          <w:lang w:val="ro-RO" w:eastAsia="ro-RO"/>
        </w:rPr>
        <w:drawing>
          <wp:inline distT="0" distB="0" distL="0" distR="0" wp14:anchorId="717D8B7A" wp14:editId="55865415">
            <wp:extent cx="5731510" cy="74991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E0F6" w14:textId="77777777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1A5036AF" w14:textId="6636B373" w:rsidR="008D4A4A" w:rsidRPr="008D4A4A" w:rsidRDefault="008D4A4A" w:rsidP="008D4A4A">
      <w:pPr>
        <w:spacing w:after="0" w:line="276" w:lineRule="auto"/>
        <w:jc w:val="right"/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</w:pPr>
      <w:r w:rsidRPr="008D4A4A"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>2</w:t>
      </w:r>
      <w:r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>6</w:t>
      </w:r>
      <w:r w:rsidRPr="008D4A4A"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 xml:space="preserve"> mai 2022</w:t>
      </w:r>
    </w:p>
    <w:p w14:paraId="124E8582" w14:textId="77777777" w:rsidR="008D4A4A" w:rsidRPr="008D4A4A" w:rsidRDefault="008D4A4A" w:rsidP="008D4A4A">
      <w:pPr>
        <w:spacing w:after="0" w:line="276" w:lineRule="auto"/>
        <w:jc w:val="both"/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</w:pPr>
    </w:p>
    <w:p w14:paraId="69648CF6" w14:textId="77777777" w:rsidR="008D4A4A" w:rsidRPr="008D4A4A" w:rsidRDefault="008D4A4A" w:rsidP="008D4A4A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</w:pPr>
      <w:r w:rsidRPr="008D4A4A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>INFORMARE DE PRESĂ</w:t>
      </w:r>
    </w:p>
    <w:p w14:paraId="5180B72C" w14:textId="77777777" w:rsidR="008D4A4A" w:rsidRPr="008D4A4A" w:rsidRDefault="008D4A4A" w:rsidP="008D4A4A">
      <w:pPr>
        <w:keepNext/>
        <w:keepLines/>
        <w:spacing w:before="240" w:after="0" w:line="276" w:lineRule="auto"/>
        <w:jc w:val="center"/>
        <w:outlineLvl w:val="0"/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</w:pPr>
      <w:r w:rsidRPr="008D4A4A">
        <w:rPr>
          <w:rFonts w:ascii="Trebuchet MS" w:eastAsiaTheme="majorEastAsia" w:hAnsi="Trebuchet MS" w:cs="Times New Roman"/>
          <w:b/>
          <w:iCs/>
          <w:noProof/>
          <w:color w:val="000000" w:themeColor="text1"/>
          <w:sz w:val="24"/>
          <w:szCs w:val="24"/>
          <w:lang w:val="ro-RO"/>
        </w:rPr>
        <w:t xml:space="preserve">APIA gestionează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măsura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"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Microgranturi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în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domeniul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agroalimentar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" din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cadrul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schemei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de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ajutor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de stat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instituite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prin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OUG nr. 61/2022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privind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unele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măsuri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pentru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acordarea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de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microgranturi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şi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granturi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pentru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capital de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lucru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entităţilor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din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domeniul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agroalimentar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cu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finanţare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din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fonduri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externe</w:t>
      </w:r>
      <w:proofErr w:type="spellEnd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8D4A4A">
        <w:rPr>
          <w:rFonts w:ascii="Trebuchet MS" w:eastAsiaTheme="minorEastAsia" w:hAnsi="Trebuchet MS" w:cs="Times New Roman"/>
          <w:b/>
          <w:bCs/>
          <w:iCs/>
          <w:sz w:val="24"/>
          <w:szCs w:val="24"/>
          <w:lang w:val="en-US"/>
        </w:rPr>
        <w:t>nerambursabile</w:t>
      </w:r>
      <w:proofErr w:type="spellEnd"/>
    </w:p>
    <w:p w14:paraId="1D53149E" w14:textId="77777777" w:rsidR="008D4A4A" w:rsidRPr="008D4A4A" w:rsidRDefault="008D4A4A" w:rsidP="008D4A4A">
      <w:pPr>
        <w:pStyle w:val="PlainText"/>
        <w:spacing w:line="276" w:lineRule="auto"/>
        <w:jc w:val="center"/>
        <w:rPr>
          <w:rFonts w:ascii="Trebuchet MS" w:hAnsi="Trebuchet MS"/>
          <w:sz w:val="24"/>
          <w:szCs w:val="24"/>
        </w:rPr>
      </w:pPr>
    </w:p>
    <w:p w14:paraId="271F65FA" w14:textId="77777777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53F1FDF5" w14:textId="5B275CD4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8D4A4A">
        <w:rPr>
          <w:rFonts w:ascii="Trebuchet MS" w:hAnsi="Trebuchet MS"/>
          <w:sz w:val="24"/>
          <w:szCs w:val="24"/>
        </w:rPr>
        <w:t>Comisia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Europeană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8D4A4A">
        <w:rPr>
          <w:rFonts w:ascii="Trebuchet MS" w:hAnsi="Trebuchet MS"/>
          <w:sz w:val="24"/>
          <w:szCs w:val="24"/>
        </w:rPr>
        <w:t>a</w:t>
      </w:r>
      <w:proofErr w:type="gram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aprobat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ieri</w:t>
      </w:r>
      <w:proofErr w:type="spellEnd"/>
      <w:r w:rsidRPr="008D4A4A">
        <w:rPr>
          <w:rFonts w:ascii="Trebuchet MS" w:hAnsi="Trebuchet MS"/>
          <w:sz w:val="24"/>
          <w:szCs w:val="24"/>
        </w:rPr>
        <w:t>, 2</w:t>
      </w:r>
      <w:r>
        <w:rPr>
          <w:rFonts w:ascii="Trebuchet MS" w:hAnsi="Trebuchet MS"/>
          <w:sz w:val="24"/>
          <w:szCs w:val="24"/>
        </w:rPr>
        <w:t>5</w:t>
      </w:r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mai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2022, schema de </w:t>
      </w:r>
      <w:proofErr w:type="spellStart"/>
      <w:r w:rsidRPr="008D4A4A">
        <w:rPr>
          <w:rFonts w:ascii="Trebuchet MS" w:hAnsi="Trebuchet MS"/>
          <w:sz w:val="24"/>
          <w:szCs w:val="24"/>
        </w:rPr>
        <w:t>ajutor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stat, </w:t>
      </w:r>
      <w:proofErr w:type="spellStart"/>
      <w:r w:rsidRPr="008D4A4A">
        <w:rPr>
          <w:rFonts w:ascii="Trebuchet MS" w:hAnsi="Trebuchet MS"/>
          <w:sz w:val="24"/>
          <w:szCs w:val="24"/>
        </w:rPr>
        <w:t>în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valoare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totală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300.000.000 de euro, </w:t>
      </w:r>
      <w:proofErr w:type="spellStart"/>
      <w:r w:rsidRPr="008D4A4A">
        <w:rPr>
          <w:rFonts w:ascii="Trebuchet MS" w:hAnsi="Trebuchet MS"/>
          <w:sz w:val="24"/>
          <w:szCs w:val="24"/>
        </w:rPr>
        <w:t>introdusă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prin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OUG nr. 61/2022 </w:t>
      </w:r>
      <w:proofErr w:type="spellStart"/>
      <w:r w:rsidRPr="008D4A4A">
        <w:rPr>
          <w:rFonts w:ascii="Trebuchet MS" w:hAnsi="Trebuchet MS"/>
          <w:sz w:val="24"/>
          <w:szCs w:val="24"/>
        </w:rPr>
        <w:t>privind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unele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măsuri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pentru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acordarea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D4A4A">
        <w:rPr>
          <w:rFonts w:ascii="Trebuchet MS" w:hAnsi="Trebuchet MS"/>
          <w:sz w:val="24"/>
          <w:szCs w:val="24"/>
        </w:rPr>
        <w:t>microgranturi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şi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granturi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pentru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capital de </w:t>
      </w:r>
      <w:proofErr w:type="spellStart"/>
      <w:r w:rsidRPr="008D4A4A">
        <w:rPr>
          <w:rFonts w:ascii="Trebuchet MS" w:hAnsi="Trebuchet MS"/>
          <w:sz w:val="24"/>
          <w:szCs w:val="24"/>
        </w:rPr>
        <w:t>lucru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entităților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8D4A4A">
        <w:rPr>
          <w:rFonts w:ascii="Trebuchet MS" w:hAnsi="Trebuchet MS"/>
          <w:sz w:val="24"/>
          <w:szCs w:val="24"/>
        </w:rPr>
        <w:t>domeniul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agroalimentar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8D4A4A">
        <w:rPr>
          <w:rFonts w:ascii="Trebuchet MS" w:hAnsi="Trebuchet MS"/>
          <w:sz w:val="24"/>
          <w:szCs w:val="24"/>
        </w:rPr>
        <w:t>finanțare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8D4A4A">
        <w:rPr>
          <w:rFonts w:ascii="Trebuchet MS" w:hAnsi="Trebuchet MS"/>
          <w:sz w:val="24"/>
          <w:szCs w:val="24"/>
        </w:rPr>
        <w:t>fonduri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externe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nerambursabile</w:t>
      </w:r>
      <w:proofErr w:type="spellEnd"/>
      <w:r w:rsidRPr="008D4A4A">
        <w:rPr>
          <w:rFonts w:ascii="Trebuchet MS" w:hAnsi="Trebuchet MS"/>
          <w:sz w:val="24"/>
          <w:szCs w:val="24"/>
        </w:rPr>
        <w:t>.</w:t>
      </w:r>
    </w:p>
    <w:p w14:paraId="05A88409" w14:textId="77777777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2CDE138E" w14:textId="5602E352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Proiectul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8D4A4A">
        <w:rPr>
          <w:rFonts w:ascii="Trebuchet MS" w:hAnsi="Trebuchet MS"/>
          <w:sz w:val="24"/>
          <w:szCs w:val="24"/>
        </w:rPr>
        <w:t>Microgranturi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în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domeniul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agroalimentar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”, </w:t>
      </w:r>
      <w:proofErr w:type="spellStart"/>
      <w:r w:rsidRPr="008D4A4A">
        <w:rPr>
          <w:rFonts w:ascii="Trebuchet MS" w:hAnsi="Trebuchet MS"/>
          <w:sz w:val="24"/>
          <w:szCs w:val="24"/>
        </w:rPr>
        <w:t>parte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8D4A4A">
        <w:rPr>
          <w:rFonts w:ascii="Trebuchet MS" w:hAnsi="Trebuchet MS"/>
          <w:sz w:val="24"/>
          <w:szCs w:val="24"/>
        </w:rPr>
        <w:t>a</w:t>
      </w:r>
      <w:proofErr w:type="gram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acestei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scheme de </w:t>
      </w:r>
      <w:proofErr w:type="spellStart"/>
      <w:r w:rsidRPr="008D4A4A">
        <w:rPr>
          <w:rFonts w:ascii="Trebuchet MS" w:hAnsi="Trebuchet MS"/>
          <w:sz w:val="24"/>
          <w:szCs w:val="24"/>
        </w:rPr>
        <w:t>ajutor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stat, </w:t>
      </w:r>
      <w:proofErr w:type="spellStart"/>
      <w:r w:rsidRPr="008D4A4A">
        <w:rPr>
          <w:rFonts w:ascii="Trebuchet MS" w:hAnsi="Trebuchet MS"/>
          <w:sz w:val="24"/>
          <w:szCs w:val="24"/>
        </w:rPr>
        <w:t>este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implementat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D4A4A">
        <w:rPr>
          <w:rFonts w:ascii="Trebuchet MS" w:hAnsi="Trebuchet MS"/>
          <w:sz w:val="24"/>
          <w:szCs w:val="24"/>
        </w:rPr>
        <w:t>Ministerul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Agriculturii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și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Dezvoltării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Rurale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D4A4A">
        <w:rPr>
          <w:rFonts w:ascii="Trebuchet MS" w:hAnsi="Trebuchet MS"/>
          <w:sz w:val="24"/>
          <w:szCs w:val="24"/>
        </w:rPr>
        <w:t>prin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intermediul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APIA. </w:t>
      </w:r>
      <w:proofErr w:type="spellStart"/>
      <w:r w:rsidRPr="008D4A4A">
        <w:rPr>
          <w:rFonts w:ascii="Trebuchet MS" w:hAnsi="Trebuchet MS"/>
          <w:sz w:val="24"/>
          <w:szCs w:val="24"/>
        </w:rPr>
        <w:t>În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acest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sens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, a </w:t>
      </w:r>
      <w:proofErr w:type="spellStart"/>
      <w:r w:rsidRPr="008D4A4A">
        <w:rPr>
          <w:rFonts w:ascii="Trebuchet MS" w:hAnsi="Trebuchet MS"/>
          <w:sz w:val="24"/>
          <w:szCs w:val="24"/>
        </w:rPr>
        <w:t>fost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semnat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contractul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cu AM POC din </w:t>
      </w:r>
      <w:proofErr w:type="spellStart"/>
      <w:r w:rsidRPr="008D4A4A">
        <w:rPr>
          <w:rFonts w:ascii="Trebuchet MS" w:hAnsi="Trebuchet MS"/>
          <w:sz w:val="24"/>
          <w:szCs w:val="24"/>
        </w:rPr>
        <w:t>cadrul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MIPE </w:t>
      </w:r>
      <w:proofErr w:type="spellStart"/>
      <w:r w:rsidRPr="008D4A4A">
        <w:rPr>
          <w:rFonts w:ascii="Trebuchet MS" w:hAnsi="Trebuchet MS"/>
          <w:sz w:val="24"/>
          <w:szCs w:val="24"/>
        </w:rPr>
        <w:t>pentru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accesarea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fondurilor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în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valoare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totală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50 000 000 de euro.</w:t>
      </w:r>
    </w:p>
    <w:p w14:paraId="5EA0F099" w14:textId="77777777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5F3AF865" w14:textId="47D7A6FE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Beneficiarii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sunt </w:t>
      </w:r>
      <w:proofErr w:type="spellStart"/>
      <w:r w:rsidRPr="008D4A4A">
        <w:rPr>
          <w:rFonts w:ascii="Trebuchet MS" w:hAnsi="Trebuchet MS"/>
          <w:sz w:val="24"/>
          <w:szCs w:val="24"/>
        </w:rPr>
        <w:t>persoane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fizice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autorizate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D4A4A">
        <w:rPr>
          <w:rFonts w:ascii="Trebuchet MS" w:hAnsi="Trebuchet MS"/>
          <w:sz w:val="24"/>
          <w:szCs w:val="24"/>
        </w:rPr>
        <w:t>întreprinderi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individuale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D4A4A">
        <w:rPr>
          <w:rFonts w:ascii="Trebuchet MS" w:hAnsi="Trebuchet MS"/>
          <w:sz w:val="24"/>
          <w:szCs w:val="24"/>
        </w:rPr>
        <w:t>întreprinderi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familiale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D4A4A">
        <w:rPr>
          <w:rFonts w:ascii="Trebuchet MS" w:hAnsi="Trebuchet MS"/>
          <w:sz w:val="24"/>
          <w:szCs w:val="24"/>
        </w:rPr>
        <w:t>microîntreprinderile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și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întreprinderile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mici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şi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mijlocii</w:t>
      </w:r>
      <w:proofErr w:type="spellEnd"/>
      <w:r w:rsidRPr="008D4A4A">
        <w:rPr>
          <w:rFonts w:ascii="Trebuchet MS" w:hAnsi="Trebuchet MS"/>
          <w:sz w:val="24"/>
          <w:szCs w:val="24"/>
        </w:rPr>
        <w:t>.</w:t>
      </w:r>
    </w:p>
    <w:p w14:paraId="179B40F5" w14:textId="77777777" w:rsidR="008D4A4A" w:rsidRPr="008D4A4A" w:rsidRDefault="008D4A4A" w:rsidP="008D4A4A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en-US" w:eastAsia="ro-RO"/>
        </w:rPr>
      </w:pPr>
      <w:proofErr w:type="spellStart"/>
      <w:r w:rsidRPr="008D4A4A">
        <w:rPr>
          <w:rFonts w:ascii="Trebuchet MS" w:eastAsia="Times New Roman" w:hAnsi="Trebuchet MS" w:cs="Arial"/>
          <w:b/>
          <w:bCs/>
          <w:sz w:val="24"/>
          <w:szCs w:val="24"/>
          <w:lang w:val="en-US" w:eastAsia="ro-RO"/>
        </w:rPr>
        <w:t>Conditii</w:t>
      </w:r>
      <w:proofErr w:type="spellEnd"/>
      <w:r w:rsidRPr="008D4A4A">
        <w:rPr>
          <w:rFonts w:ascii="Trebuchet MS" w:eastAsia="Times New Roman" w:hAnsi="Trebuchet MS" w:cs="Arial"/>
          <w:b/>
          <w:bCs/>
          <w:sz w:val="24"/>
          <w:szCs w:val="24"/>
          <w:lang w:val="en-US" w:eastAsia="ro-RO"/>
        </w:rPr>
        <w:t xml:space="preserve"> cumulative de </w:t>
      </w:r>
      <w:proofErr w:type="spellStart"/>
      <w:proofErr w:type="gramStart"/>
      <w:r w:rsidRPr="008D4A4A">
        <w:rPr>
          <w:rFonts w:ascii="Trebuchet MS" w:eastAsia="Times New Roman" w:hAnsi="Trebuchet MS" w:cs="Arial"/>
          <w:b/>
          <w:bCs/>
          <w:sz w:val="24"/>
          <w:szCs w:val="24"/>
          <w:lang w:val="en-US" w:eastAsia="ro-RO"/>
        </w:rPr>
        <w:t>eligibilitate</w:t>
      </w:r>
      <w:proofErr w:type="spellEnd"/>
      <w:r w:rsidRPr="008D4A4A">
        <w:rPr>
          <w:rFonts w:ascii="Trebuchet MS" w:eastAsia="Times New Roman" w:hAnsi="Trebuchet MS" w:cs="Arial"/>
          <w:b/>
          <w:bCs/>
          <w:sz w:val="24"/>
          <w:szCs w:val="24"/>
          <w:lang w:val="en-US" w:eastAsia="ro-RO"/>
        </w:rPr>
        <w:t xml:space="preserve"> :</w:t>
      </w:r>
      <w:proofErr w:type="gramEnd"/>
    </w:p>
    <w:p w14:paraId="3A17AE14" w14:textId="77777777" w:rsidR="008D4A4A" w:rsidRPr="008D4A4A" w:rsidRDefault="008D4A4A" w:rsidP="008D4A4A">
      <w:pPr>
        <w:spacing w:after="0" w:line="276" w:lineRule="auto"/>
        <w:jc w:val="both"/>
        <w:rPr>
          <w:rFonts w:ascii="Trebuchet MS" w:eastAsia="Times New Roman" w:hAnsi="Trebuchet MS" w:cs="Arial"/>
          <w:sz w:val="24"/>
          <w:szCs w:val="24"/>
          <w:lang w:val="en-US" w:eastAsia="ro-RO"/>
        </w:rPr>
      </w:pPr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a) au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desfăşurat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activitate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curentă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/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operaţională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pe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perioada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a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cel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puţin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3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luni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calendaristice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înainte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data de 31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decembrie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2019;</w:t>
      </w:r>
    </w:p>
    <w:p w14:paraId="397DFC26" w14:textId="77777777" w:rsidR="008D4A4A" w:rsidRPr="008D4A4A" w:rsidRDefault="008D4A4A" w:rsidP="008D4A4A">
      <w:pPr>
        <w:spacing w:after="0" w:line="276" w:lineRule="auto"/>
        <w:jc w:val="both"/>
        <w:rPr>
          <w:rFonts w:ascii="Trebuchet MS" w:eastAsia="Times New Roman" w:hAnsi="Trebuchet MS" w:cs="Arial"/>
          <w:sz w:val="24"/>
          <w:szCs w:val="24"/>
          <w:lang w:val="en-US" w:eastAsia="ro-RO"/>
        </w:rPr>
      </w:pPr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b) au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obţinut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o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cifră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afaceri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/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venituri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cel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puţin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echivalentul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în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lei a 5.000 euro la data de 31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decembrie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2019, cu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excepţia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beneficiarilor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ajutorului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stat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prevăzuţi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la art. 5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alin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. (1) </w:t>
      </w:r>
      <w:hyperlink r:id="rId5" w:anchor="p-464833094" w:tgtFrame="_blank" w:history="1">
        <w:r w:rsidRPr="008D4A4A">
          <w:rPr>
            <w:rFonts w:ascii="Trebuchet MS" w:eastAsia="Times New Roman" w:hAnsi="Trebuchet MS" w:cs="Arial"/>
            <w:color w:val="0563C1" w:themeColor="hyperlink"/>
            <w:sz w:val="24"/>
            <w:szCs w:val="24"/>
            <w:u w:val="single"/>
            <w:lang w:val="en-US" w:eastAsia="ro-RO"/>
          </w:rPr>
          <w:t>lit. a)</w:t>
        </w:r>
      </w:hyperlink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din OUG61/2022, care au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fost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înfiinţaţi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în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anul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2019, cu o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cifră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afaceri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mai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mică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5.000 euro;</w:t>
      </w:r>
    </w:p>
    <w:p w14:paraId="313F1133" w14:textId="77777777" w:rsidR="008D4A4A" w:rsidRPr="008D4A4A" w:rsidRDefault="008D4A4A" w:rsidP="008D4A4A">
      <w:pPr>
        <w:spacing w:after="0" w:line="276" w:lineRule="auto"/>
        <w:jc w:val="both"/>
        <w:rPr>
          <w:rFonts w:ascii="Trebuchet MS" w:eastAsia="Times New Roman" w:hAnsi="Trebuchet MS" w:cs="Arial"/>
          <w:sz w:val="24"/>
          <w:szCs w:val="24"/>
          <w:lang w:val="en-US" w:eastAsia="ro-RO"/>
        </w:rPr>
      </w:pPr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c)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îşi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menţin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activitatea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pe o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perioadă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cel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puţin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6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luni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la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acordarea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măsurii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sprijin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sub </w:t>
      </w:r>
      <w:proofErr w:type="spellStart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>formă</w:t>
      </w:r>
      <w:proofErr w:type="spellEnd"/>
      <w:r w:rsidRPr="008D4A4A">
        <w:rPr>
          <w:rFonts w:ascii="Trebuchet MS" w:eastAsia="Times New Roman" w:hAnsi="Trebuchet MS" w:cs="Arial"/>
          <w:sz w:val="24"/>
          <w:szCs w:val="24"/>
          <w:lang w:val="en-US" w:eastAsia="ro-RO"/>
        </w:rPr>
        <w:t xml:space="preserve"> de microgrant.</w:t>
      </w:r>
    </w:p>
    <w:p w14:paraId="0F3D9140" w14:textId="77777777" w:rsidR="008D4A4A" w:rsidRPr="008D4A4A" w:rsidRDefault="008D4A4A" w:rsidP="008D4A4A">
      <w:pPr>
        <w:pStyle w:val="al"/>
        <w:spacing w:after="0" w:afterAutospacing="0" w:line="276" w:lineRule="auto"/>
        <w:jc w:val="both"/>
        <w:rPr>
          <w:rFonts w:ascii="Trebuchet MS" w:hAnsi="Trebuchet MS" w:cs="Arial"/>
          <w:b/>
          <w:bCs/>
          <w:lang w:eastAsia="ro-RO"/>
        </w:rPr>
      </w:pPr>
      <w:proofErr w:type="spellStart"/>
      <w:r w:rsidRPr="008D4A4A">
        <w:rPr>
          <w:rFonts w:ascii="Trebuchet MS" w:hAnsi="Trebuchet MS" w:cs="Arial"/>
          <w:b/>
          <w:bCs/>
          <w:lang w:eastAsia="ro-RO"/>
        </w:rPr>
        <w:t>Beneficiarii</w:t>
      </w:r>
      <w:proofErr w:type="spellEnd"/>
      <w:r w:rsidRPr="008D4A4A">
        <w:rPr>
          <w:rFonts w:ascii="Trebuchet MS" w:hAnsi="Trebuchet MS" w:cs="Arial"/>
          <w:b/>
          <w:bCs/>
          <w:lang w:eastAsia="ro-RO"/>
        </w:rPr>
        <w:t xml:space="preserve"> pot </w:t>
      </w:r>
      <w:proofErr w:type="spellStart"/>
      <w:r w:rsidRPr="008D4A4A">
        <w:rPr>
          <w:rFonts w:ascii="Trebuchet MS" w:hAnsi="Trebuchet MS" w:cs="Arial"/>
          <w:b/>
          <w:bCs/>
          <w:lang w:eastAsia="ro-RO"/>
        </w:rPr>
        <w:t>utiliza</w:t>
      </w:r>
      <w:proofErr w:type="spellEnd"/>
      <w:r w:rsidRPr="008D4A4A">
        <w:rPr>
          <w:rFonts w:ascii="Trebuchet MS" w:hAnsi="Trebuchet MS" w:cs="Arial"/>
          <w:b/>
          <w:bCs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b/>
          <w:bCs/>
          <w:lang w:eastAsia="ro-RO"/>
        </w:rPr>
        <w:t>microgranturile</w:t>
      </w:r>
      <w:proofErr w:type="spellEnd"/>
      <w:r w:rsidRPr="008D4A4A">
        <w:rPr>
          <w:rFonts w:ascii="Trebuchet MS" w:hAnsi="Trebuchet MS" w:cs="Arial"/>
          <w:lang w:eastAsia="ro-RO"/>
        </w:rPr>
        <w:t xml:space="preserve">, </w:t>
      </w:r>
      <w:proofErr w:type="spellStart"/>
      <w:r w:rsidRPr="008D4A4A">
        <w:rPr>
          <w:rFonts w:ascii="Trebuchet MS" w:hAnsi="Trebuchet MS" w:cs="Arial"/>
          <w:b/>
          <w:bCs/>
          <w:lang w:eastAsia="ro-RO"/>
        </w:rPr>
        <w:t>pentru</w:t>
      </w:r>
      <w:proofErr w:type="spellEnd"/>
      <w:r w:rsidRPr="008D4A4A">
        <w:rPr>
          <w:rFonts w:ascii="Trebuchet MS" w:hAnsi="Trebuchet MS" w:cs="Arial"/>
          <w:b/>
          <w:bCs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b/>
          <w:bCs/>
          <w:lang w:eastAsia="ro-RO"/>
        </w:rPr>
        <w:t>susţinerea</w:t>
      </w:r>
      <w:proofErr w:type="spellEnd"/>
      <w:r w:rsidRPr="008D4A4A">
        <w:rPr>
          <w:rFonts w:ascii="Trebuchet MS" w:hAnsi="Trebuchet MS" w:cs="Arial"/>
          <w:b/>
          <w:bCs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b/>
          <w:bCs/>
          <w:lang w:eastAsia="ro-RO"/>
        </w:rPr>
        <w:t>următoarelor</w:t>
      </w:r>
      <w:proofErr w:type="spellEnd"/>
      <w:r w:rsidRPr="008D4A4A">
        <w:rPr>
          <w:rFonts w:ascii="Trebuchet MS" w:hAnsi="Trebuchet MS" w:cs="Arial"/>
          <w:b/>
          <w:bCs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b/>
          <w:bCs/>
          <w:lang w:eastAsia="ro-RO"/>
        </w:rPr>
        <w:t>cheltuieli</w:t>
      </w:r>
      <w:proofErr w:type="spellEnd"/>
      <w:r w:rsidRPr="008D4A4A">
        <w:rPr>
          <w:rFonts w:ascii="Trebuchet MS" w:hAnsi="Trebuchet MS" w:cs="Arial"/>
          <w:b/>
          <w:bCs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b/>
          <w:bCs/>
          <w:lang w:eastAsia="ro-RO"/>
        </w:rPr>
        <w:t>angajate</w:t>
      </w:r>
      <w:proofErr w:type="spellEnd"/>
      <w:r w:rsidRPr="008D4A4A">
        <w:rPr>
          <w:rFonts w:ascii="Trebuchet MS" w:hAnsi="Trebuchet MS" w:cs="Arial"/>
          <w:b/>
          <w:bCs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b/>
          <w:bCs/>
          <w:lang w:eastAsia="ro-RO"/>
        </w:rPr>
        <w:t>după</w:t>
      </w:r>
      <w:proofErr w:type="spellEnd"/>
      <w:r w:rsidRPr="008D4A4A">
        <w:rPr>
          <w:rFonts w:ascii="Trebuchet MS" w:hAnsi="Trebuchet MS" w:cs="Arial"/>
          <w:b/>
          <w:bCs/>
          <w:lang w:eastAsia="ro-RO"/>
        </w:rPr>
        <w:t xml:space="preserve"> data de 1 </w:t>
      </w:r>
      <w:proofErr w:type="spellStart"/>
      <w:r w:rsidRPr="008D4A4A">
        <w:rPr>
          <w:rFonts w:ascii="Trebuchet MS" w:hAnsi="Trebuchet MS" w:cs="Arial"/>
          <w:b/>
          <w:bCs/>
          <w:lang w:eastAsia="ro-RO"/>
        </w:rPr>
        <w:t>februarie</w:t>
      </w:r>
      <w:proofErr w:type="spellEnd"/>
      <w:r w:rsidRPr="008D4A4A">
        <w:rPr>
          <w:rFonts w:ascii="Trebuchet MS" w:hAnsi="Trebuchet MS" w:cs="Arial"/>
          <w:b/>
          <w:bCs/>
          <w:lang w:eastAsia="ro-RO"/>
        </w:rPr>
        <w:t xml:space="preserve"> 2020:</w:t>
      </w:r>
    </w:p>
    <w:p w14:paraId="47FA0630" w14:textId="77777777" w:rsidR="008D4A4A" w:rsidRPr="008D4A4A" w:rsidRDefault="008D4A4A" w:rsidP="008D4A4A">
      <w:pPr>
        <w:pStyle w:val="al"/>
        <w:spacing w:after="0" w:afterAutospacing="0" w:line="276" w:lineRule="auto"/>
        <w:ind w:firstLine="720"/>
        <w:jc w:val="both"/>
        <w:rPr>
          <w:rFonts w:ascii="Trebuchet MS" w:hAnsi="Trebuchet MS" w:cs="Arial"/>
          <w:lang w:eastAsia="ro-RO"/>
        </w:rPr>
      </w:pPr>
      <w:r w:rsidRPr="008D4A4A">
        <w:rPr>
          <w:rFonts w:ascii="Trebuchet MS" w:hAnsi="Trebuchet MS" w:cs="Arial"/>
          <w:lang w:eastAsia="ro-RO"/>
        </w:rPr>
        <w:t xml:space="preserve">a) </w:t>
      </w:r>
      <w:proofErr w:type="spellStart"/>
      <w:r w:rsidRPr="008D4A4A">
        <w:rPr>
          <w:rFonts w:ascii="Trebuchet MS" w:hAnsi="Trebuchet MS" w:cs="Arial"/>
          <w:lang w:eastAsia="ro-RO"/>
        </w:rPr>
        <w:t>cheltuieli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privind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stocurile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materii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prime, </w:t>
      </w:r>
      <w:proofErr w:type="spellStart"/>
      <w:r w:rsidRPr="008D4A4A">
        <w:rPr>
          <w:rFonts w:ascii="Trebuchet MS" w:hAnsi="Trebuchet MS" w:cs="Arial"/>
          <w:lang w:eastAsia="ro-RO"/>
        </w:rPr>
        <w:t>materiale</w:t>
      </w:r>
      <w:proofErr w:type="spellEnd"/>
      <w:r w:rsidRPr="008D4A4A">
        <w:rPr>
          <w:rFonts w:ascii="Trebuchet MS" w:hAnsi="Trebuchet MS" w:cs="Arial"/>
          <w:lang w:eastAsia="ro-RO"/>
        </w:rPr>
        <w:t xml:space="preserve">, </w:t>
      </w:r>
      <w:proofErr w:type="spellStart"/>
      <w:r w:rsidRPr="008D4A4A">
        <w:rPr>
          <w:rFonts w:ascii="Trebuchet MS" w:hAnsi="Trebuchet MS" w:cs="Arial"/>
          <w:lang w:eastAsia="ro-RO"/>
        </w:rPr>
        <w:t>mărfuri</w:t>
      </w:r>
      <w:proofErr w:type="spellEnd"/>
      <w:r w:rsidRPr="008D4A4A">
        <w:rPr>
          <w:rFonts w:ascii="Trebuchet MS" w:hAnsi="Trebuchet MS" w:cs="Arial"/>
          <w:lang w:eastAsia="ro-RO"/>
        </w:rPr>
        <w:t xml:space="preserve">, precum </w:t>
      </w:r>
      <w:proofErr w:type="spellStart"/>
      <w:r w:rsidRPr="008D4A4A">
        <w:rPr>
          <w:rFonts w:ascii="Trebuchet MS" w:hAnsi="Trebuchet MS" w:cs="Arial"/>
          <w:lang w:eastAsia="ro-RO"/>
        </w:rPr>
        <w:t>şi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alte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categorii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stocuri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necesare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activităţii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curente</w:t>
      </w:r>
      <w:proofErr w:type="spellEnd"/>
      <w:r w:rsidRPr="008D4A4A">
        <w:rPr>
          <w:rFonts w:ascii="Trebuchet MS" w:hAnsi="Trebuchet MS" w:cs="Arial"/>
          <w:lang w:eastAsia="ro-RO"/>
        </w:rPr>
        <w:t>/</w:t>
      </w:r>
      <w:proofErr w:type="spellStart"/>
      <w:r w:rsidRPr="008D4A4A">
        <w:rPr>
          <w:rFonts w:ascii="Trebuchet MS" w:hAnsi="Trebuchet MS" w:cs="Arial"/>
          <w:lang w:eastAsia="ro-RO"/>
        </w:rPr>
        <w:t>operaţionale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desfăşurate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beneficiari</w:t>
      </w:r>
      <w:proofErr w:type="spellEnd"/>
      <w:r w:rsidRPr="008D4A4A">
        <w:rPr>
          <w:rFonts w:ascii="Trebuchet MS" w:hAnsi="Trebuchet MS" w:cs="Arial"/>
          <w:lang w:eastAsia="ro-RO"/>
        </w:rPr>
        <w:t>;</w:t>
      </w:r>
    </w:p>
    <w:p w14:paraId="5DCC3348" w14:textId="77777777" w:rsidR="008D4A4A" w:rsidRPr="008D4A4A" w:rsidRDefault="008D4A4A" w:rsidP="008D4A4A">
      <w:pPr>
        <w:pStyle w:val="al"/>
        <w:spacing w:before="0" w:beforeAutospacing="0" w:after="0" w:afterAutospacing="0" w:line="276" w:lineRule="auto"/>
        <w:ind w:firstLine="720"/>
        <w:jc w:val="both"/>
        <w:rPr>
          <w:rFonts w:ascii="Trebuchet MS" w:hAnsi="Trebuchet MS" w:cs="Arial"/>
          <w:lang w:eastAsia="ro-RO"/>
        </w:rPr>
      </w:pPr>
      <w:r w:rsidRPr="008D4A4A">
        <w:rPr>
          <w:rFonts w:ascii="Trebuchet MS" w:hAnsi="Trebuchet MS" w:cs="Arial"/>
          <w:lang w:eastAsia="ro-RO"/>
        </w:rPr>
        <w:t xml:space="preserve">b) </w:t>
      </w:r>
      <w:proofErr w:type="spellStart"/>
      <w:r w:rsidRPr="008D4A4A">
        <w:rPr>
          <w:rFonts w:ascii="Trebuchet MS" w:hAnsi="Trebuchet MS" w:cs="Arial"/>
          <w:lang w:eastAsia="ro-RO"/>
        </w:rPr>
        <w:t>datorii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curente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şi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restante </w:t>
      </w:r>
      <w:proofErr w:type="spellStart"/>
      <w:r w:rsidRPr="008D4A4A">
        <w:rPr>
          <w:rFonts w:ascii="Trebuchet MS" w:hAnsi="Trebuchet MS" w:cs="Arial"/>
          <w:lang w:eastAsia="ro-RO"/>
        </w:rPr>
        <w:t>faţă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furnizorii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curenţi</w:t>
      </w:r>
      <w:proofErr w:type="spellEnd"/>
      <w:r w:rsidRPr="008D4A4A">
        <w:rPr>
          <w:rFonts w:ascii="Trebuchet MS" w:hAnsi="Trebuchet MS" w:cs="Arial"/>
          <w:lang w:eastAsia="ro-RO"/>
        </w:rPr>
        <w:t xml:space="preserve">, </w:t>
      </w:r>
      <w:proofErr w:type="spellStart"/>
      <w:r w:rsidRPr="008D4A4A">
        <w:rPr>
          <w:rFonts w:ascii="Trebuchet MS" w:hAnsi="Trebuchet MS" w:cs="Arial"/>
          <w:lang w:eastAsia="ro-RO"/>
        </w:rPr>
        <w:t>inclusiv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faţă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furnizorii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utilităţi</w:t>
      </w:r>
      <w:proofErr w:type="spellEnd"/>
      <w:r w:rsidRPr="008D4A4A">
        <w:rPr>
          <w:rFonts w:ascii="Trebuchet MS" w:hAnsi="Trebuchet MS" w:cs="Arial"/>
          <w:lang w:eastAsia="ro-RO"/>
        </w:rPr>
        <w:t xml:space="preserve">, </w:t>
      </w:r>
      <w:proofErr w:type="spellStart"/>
      <w:r w:rsidRPr="008D4A4A">
        <w:rPr>
          <w:rFonts w:ascii="Trebuchet MS" w:hAnsi="Trebuchet MS" w:cs="Arial"/>
          <w:lang w:eastAsia="ro-RO"/>
        </w:rPr>
        <w:t>potrivit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contractelor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încheiate</w:t>
      </w:r>
      <w:proofErr w:type="spellEnd"/>
      <w:r w:rsidRPr="008D4A4A">
        <w:rPr>
          <w:rFonts w:ascii="Trebuchet MS" w:hAnsi="Trebuchet MS" w:cs="Arial"/>
          <w:lang w:eastAsia="ro-RO"/>
        </w:rPr>
        <w:t>;</w:t>
      </w:r>
    </w:p>
    <w:p w14:paraId="7DD834CF" w14:textId="77777777" w:rsidR="008D4A4A" w:rsidRPr="008D4A4A" w:rsidRDefault="008D4A4A" w:rsidP="008D4A4A">
      <w:pPr>
        <w:pStyle w:val="al"/>
        <w:spacing w:before="0" w:beforeAutospacing="0" w:after="0" w:afterAutospacing="0" w:line="276" w:lineRule="auto"/>
        <w:ind w:firstLine="720"/>
        <w:jc w:val="both"/>
        <w:rPr>
          <w:rFonts w:ascii="Trebuchet MS" w:hAnsi="Trebuchet MS" w:cs="Arial"/>
          <w:lang w:eastAsia="ro-RO"/>
        </w:rPr>
      </w:pPr>
      <w:r w:rsidRPr="008D4A4A">
        <w:rPr>
          <w:rFonts w:ascii="Trebuchet MS" w:hAnsi="Trebuchet MS" w:cs="Arial"/>
          <w:lang w:eastAsia="ro-RO"/>
        </w:rPr>
        <w:lastRenderedPageBreak/>
        <w:t xml:space="preserve">c) </w:t>
      </w:r>
      <w:proofErr w:type="spellStart"/>
      <w:r w:rsidRPr="008D4A4A">
        <w:rPr>
          <w:rFonts w:ascii="Trebuchet MS" w:hAnsi="Trebuchet MS" w:cs="Arial"/>
          <w:lang w:eastAsia="ro-RO"/>
        </w:rPr>
        <w:t>cheltuieli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privind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chiria</w:t>
      </w:r>
      <w:proofErr w:type="spellEnd"/>
      <w:r w:rsidRPr="008D4A4A">
        <w:rPr>
          <w:rFonts w:ascii="Trebuchet MS" w:hAnsi="Trebuchet MS" w:cs="Arial"/>
          <w:lang w:eastAsia="ro-RO"/>
        </w:rPr>
        <w:t xml:space="preserve"> pe </w:t>
      </w:r>
      <w:proofErr w:type="spellStart"/>
      <w:r w:rsidRPr="008D4A4A">
        <w:rPr>
          <w:rFonts w:ascii="Trebuchet MS" w:hAnsi="Trebuchet MS" w:cs="Arial"/>
          <w:lang w:eastAsia="ro-RO"/>
        </w:rPr>
        <w:t>bază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contract </w:t>
      </w:r>
      <w:proofErr w:type="spellStart"/>
      <w:r w:rsidRPr="008D4A4A">
        <w:rPr>
          <w:rFonts w:ascii="Trebuchet MS" w:hAnsi="Trebuchet MS" w:cs="Arial"/>
          <w:lang w:eastAsia="ro-RO"/>
        </w:rPr>
        <w:t>încheiat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şi</w:t>
      </w:r>
      <w:proofErr w:type="spellEnd"/>
      <w:r w:rsidRPr="008D4A4A">
        <w:rPr>
          <w:rFonts w:ascii="Trebuchet MS" w:hAnsi="Trebuchet MS" w:cs="Arial"/>
          <w:lang w:eastAsia="ro-RO"/>
        </w:rPr>
        <w:t>/</w:t>
      </w:r>
      <w:proofErr w:type="spellStart"/>
      <w:r w:rsidRPr="008D4A4A">
        <w:rPr>
          <w:rFonts w:ascii="Trebuchet MS" w:hAnsi="Trebuchet MS" w:cs="Arial"/>
          <w:lang w:eastAsia="ro-RO"/>
        </w:rPr>
        <w:t>sau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cheltuieli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privind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arenda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sau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redevenţa</w:t>
      </w:r>
      <w:proofErr w:type="spellEnd"/>
      <w:r w:rsidRPr="008D4A4A">
        <w:rPr>
          <w:rFonts w:ascii="Trebuchet MS" w:hAnsi="Trebuchet MS" w:cs="Arial"/>
          <w:lang w:eastAsia="ro-RO"/>
        </w:rPr>
        <w:t xml:space="preserve"> pe </w:t>
      </w:r>
      <w:proofErr w:type="spellStart"/>
      <w:r w:rsidRPr="008D4A4A">
        <w:rPr>
          <w:rFonts w:ascii="Trebuchet MS" w:hAnsi="Trebuchet MS" w:cs="Arial"/>
          <w:lang w:eastAsia="ro-RO"/>
        </w:rPr>
        <w:t>bază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contract de </w:t>
      </w:r>
      <w:proofErr w:type="spellStart"/>
      <w:r w:rsidRPr="008D4A4A">
        <w:rPr>
          <w:rFonts w:ascii="Trebuchet MS" w:hAnsi="Trebuchet MS" w:cs="Arial"/>
          <w:lang w:eastAsia="ro-RO"/>
        </w:rPr>
        <w:t>arendă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sau</w:t>
      </w:r>
      <w:proofErr w:type="spellEnd"/>
      <w:r w:rsidRPr="008D4A4A">
        <w:rPr>
          <w:rFonts w:ascii="Trebuchet MS" w:hAnsi="Trebuchet MS" w:cs="Arial"/>
          <w:lang w:eastAsia="ro-RO"/>
        </w:rPr>
        <w:t xml:space="preserve"> contract de </w:t>
      </w:r>
      <w:proofErr w:type="spellStart"/>
      <w:r w:rsidRPr="008D4A4A">
        <w:rPr>
          <w:rFonts w:ascii="Trebuchet MS" w:hAnsi="Trebuchet MS" w:cs="Arial"/>
          <w:lang w:eastAsia="ro-RO"/>
        </w:rPr>
        <w:t>concesiune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aferente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terenurilor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agricole</w:t>
      </w:r>
      <w:proofErr w:type="spellEnd"/>
      <w:r w:rsidRPr="008D4A4A">
        <w:rPr>
          <w:rFonts w:ascii="Trebuchet MS" w:hAnsi="Trebuchet MS" w:cs="Arial"/>
          <w:lang w:eastAsia="ro-RO"/>
        </w:rPr>
        <w:t>;</w:t>
      </w:r>
    </w:p>
    <w:p w14:paraId="6A6ED95D" w14:textId="77777777" w:rsidR="008D4A4A" w:rsidRPr="008D4A4A" w:rsidRDefault="008D4A4A" w:rsidP="008D4A4A">
      <w:pPr>
        <w:pStyle w:val="al"/>
        <w:spacing w:before="0" w:beforeAutospacing="0" w:after="0" w:afterAutospacing="0" w:line="276" w:lineRule="auto"/>
        <w:ind w:firstLine="720"/>
        <w:jc w:val="both"/>
        <w:rPr>
          <w:rFonts w:ascii="Trebuchet MS" w:hAnsi="Trebuchet MS" w:cs="Arial"/>
          <w:lang w:eastAsia="ro-RO"/>
        </w:rPr>
      </w:pPr>
      <w:r w:rsidRPr="008D4A4A">
        <w:rPr>
          <w:rFonts w:ascii="Trebuchet MS" w:hAnsi="Trebuchet MS" w:cs="Arial"/>
          <w:lang w:eastAsia="ro-RO"/>
        </w:rPr>
        <w:t xml:space="preserve">d) </w:t>
      </w:r>
      <w:proofErr w:type="spellStart"/>
      <w:r w:rsidRPr="008D4A4A">
        <w:rPr>
          <w:rFonts w:ascii="Trebuchet MS" w:hAnsi="Trebuchet MS" w:cs="Arial"/>
          <w:lang w:eastAsia="ro-RO"/>
        </w:rPr>
        <w:t>cheltuieli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privind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achiziţia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servicii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necesare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activităţii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curente</w:t>
      </w:r>
      <w:proofErr w:type="spellEnd"/>
      <w:r w:rsidRPr="008D4A4A">
        <w:rPr>
          <w:rFonts w:ascii="Trebuchet MS" w:hAnsi="Trebuchet MS" w:cs="Arial"/>
          <w:lang w:eastAsia="ro-RO"/>
        </w:rPr>
        <w:t>/</w:t>
      </w:r>
      <w:proofErr w:type="spellStart"/>
      <w:r w:rsidRPr="008D4A4A">
        <w:rPr>
          <w:rFonts w:ascii="Trebuchet MS" w:hAnsi="Trebuchet MS" w:cs="Arial"/>
          <w:lang w:eastAsia="ro-RO"/>
        </w:rPr>
        <w:t>operaţionale</w:t>
      </w:r>
      <w:proofErr w:type="spellEnd"/>
      <w:r w:rsidRPr="008D4A4A">
        <w:rPr>
          <w:rFonts w:ascii="Trebuchet MS" w:hAnsi="Trebuchet MS" w:cs="Arial"/>
          <w:lang w:eastAsia="ro-RO"/>
        </w:rPr>
        <w:t xml:space="preserve">, cu </w:t>
      </w:r>
      <w:proofErr w:type="spellStart"/>
      <w:r w:rsidRPr="008D4A4A">
        <w:rPr>
          <w:rFonts w:ascii="Trebuchet MS" w:hAnsi="Trebuchet MS" w:cs="Arial"/>
          <w:lang w:eastAsia="ro-RO"/>
        </w:rPr>
        <w:t>excepţia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serviciilor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consultanţă</w:t>
      </w:r>
      <w:proofErr w:type="spellEnd"/>
      <w:r w:rsidRPr="008D4A4A">
        <w:rPr>
          <w:rFonts w:ascii="Trebuchet MS" w:hAnsi="Trebuchet MS" w:cs="Arial"/>
          <w:lang w:eastAsia="ro-RO"/>
        </w:rPr>
        <w:t>;</w:t>
      </w:r>
    </w:p>
    <w:p w14:paraId="3995C1D7" w14:textId="77777777" w:rsidR="008D4A4A" w:rsidRPr="008D4A4A" w:rsidRDefault="008D4A4A" w:rsidP="008D4A4A">
      <w:pPr>
        <w:pStyle w:val="al"/>
        <w:spacing w:before="0" w:beforeAutospacing="0" w:after="0" w:afterAutospacing="0" w:line="276" w:lineRule="auto"/>
        <w:ind w:firstLine="720"/>
        <w:jc w:val="both"/>
        <w:rPr>
          <w:rFonts w:ascii="Trebuchet MS" w:hAnsi="Trebuchet MS" w:cs="Arial"/>
          <w:lang w:eastAsia="ro-RO"/>
        </w:rPr>
      </w:pPr>
      <w:r w:rsidRPr="008D4A4A">
        <w:rPr>
          <w:rFonts w:ascii="Trebuchet MS" w:hAnsi="Trebuchet MS" w:cs="Arial"/>
          <w:lang w:eastAsia="ro-RO"/>
        </w:rPr>
        <w:t xml:space="preserve">e) </w:t>
      </w:r>
      <w:proofErr w:type="spellStart"/>
      <w:r w:rsidRPr="008D4A4A">
        <w:rPr>
          <w:rFonts w:ascii="Trebuchet MS" w:hAnsi="Trebuchet MS" w:cs="Arial"/>
          <w:lang w:eastAsia="ro-RO"/>
        </w:rPr>
        <w:t>cheltuieli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privind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achiziţia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obiecte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inventar</w:t>
      </w:r>
      <w:proofErr w:type="spellEnd"/>
      <w:r w:rsidRPr="008D4A4A">
        <w:rPr>
          <w:rFonts w:ascii="Trebuchet MS" w:hAnsi="Trebuchet MS" w:cs="Arial"/>
          <w:lang w:eastAsia="ro-RO"/>
        </w:rPr>
        <w:t xml:space="preserve">, </w:t>
      </w:r>
      <w:proofErr w:type="spellStart"/>
      <w:r w:rsidRPr="008D4A4A">
        <w:rPr>
          <w:rFonts w:ascii="Trebuchet MS" w:hAnsi="Trebuchet MS" w:cs="Arial"/>
          <w:lang w:eastAsia="ro-RO"/>
        </w:rPr>
        <w:t>inclusiv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obiecte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inventar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natura </w:t>
      </w:r>
      <w:proofErr w:type="spellStart"/>
      <w:r w:rsidRPr="008D4A4A">
        <w:rPr>
          <w:rFonts w:ascii="Trebuchet MS" w:hAnsi="Trebuchet MS" w:cs="Arial"/>
          <w:lang w:eastAsia="ro-RO"/>
        </w:rPr>
        <w:t>mijloacelor</w:t>
      </w:r>
      <w:proofErr w:type="spellEnd"/>
      <w:r w:rsidRPr="008D4A4A">
        <w:rPr>
          <w:rFonts w:ascii="Trebuchet MS" w:hAnsi="Trebuchet MS" w:cs="Arial"/>
          <w:lang w:eastAsia="ro-RO"/>
        </w:rPr>
        <w:t xml:space="preserve"> fixe </w:t>
      </w:r>
      <w:proofErr w:type="spellStart"/>
      <w:r w:rsidRPr="008D4A4A">
        <w:rPr>
          <w:rFonts w:ascii="Trebuchet MS" w:hAnsi="Trebuchet MS" w:cs="Arial"/>
          <w:lang w:eastAsia="ro-RO"/>
        </w:rPr>
        <w:t>necesare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reluării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activităţii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curente</w:t>
      </w:r>
      <w:proofErr w:type="spellEnd"/>
      <w:r w:rsidRPr="008D4A4A">
        <w:rPr>
          <w:rFonts w:ascii="Trebuchet MS" w:hAnsi="Trebuchet MS" w:cs="Arial"/>
          <w:lang w:eastAsia="ro-RO"/>
        </w:rPr>
        <w:t>/</w:t>
      </w:r>
      <w:proofErr w:type="spellStart"/>
      <w:r w:rsidRPr="008D4A4A">
        <w:rPr>
          <w:rFonts w:ascii="Trebuchet MS" w:hAnsi="Trebuchet MS" w:cs="Arial"/>
          <w:lang w:eastAsia="ro-RO"/>
        </w:rPr>
        <w:t>operaţionale</w:t>
      </w:r>
      <w:proofErr w:type="spellEnd"/>
      <w:r w:rsidRPr="008D4A4A">
        <w:rPr>
          <w:rFonts w:ascii="Trebuchet MS" w:hAnsi="Trebuchet MS" w:cs="Arial"/>
          <w:lang w:eastAsia="ro-RO"/>
        </w:rPr>
        <w:t>;</w:t>
      </w:r>
    </w:p>
    <w:p w14:paraId="413A3504" w14:textId="77777777" w:rsidR="008D4A4A" w:rsidRPr="008D4A4A" w:rsidRDefault="008D4A4A" w:rsidP="008D4A4A">
      <w:pPr>
        <w:pStyle w:val="al"/>
        <w:spacing w:before="0" w:beforeAutospacing="0" w:after="0" w:afterAutospacing="0" w:line="276" w:lineRule="auto"/>
        <w:ind w:firstLine="720"/>
        <w:jc w:val="both"/>
        <w:rPr>
          <w:rFonts w:ascii="Trebuchet MS" w:hAnsi="Trebuchet MS" w:cs="Arial"/>
          <w:lang w:eastAsia="ro-RO"/>
        </w:rPr>
      </w:pPr>
      <w:r w:rsidRPr="008D4A4A">
        <w:rPr>
          <w:rFonts w:ascii="Trebuchet MS" w:hAnsi="Trebuchet MS" w:cs="Arial"/>
          <w:lang w:eastAsia="ro-RO"/>
        </w:rPr>
        <w:t xml:space="preserve">f) </w:t>
      </w:r>
      <w:proofErr w:type="spellStart"/>
      <w:r w:rsidRPr="008D4A4A">
        <w:rPr>
          <w:rFonts w:ascii="Trebuchet MS" w:hAnsi="Trebuchet MS" w:cs="Arial"/>
          <w:lang w:eastAsia="ro-RO"/>
        </w:rPr>
        <w:t>cheltuieli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privind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achiziţia</w:t>
      </w:r>
      <w:proofErr w:type="spellEnd"/>
      <w:r w:rsidRPr="008D4A4A">
        <w:rPr>
          <w:rFonts w:ascii="Trebuchet MS" w:hAnsi="Trebuchet MS" w:cs="Arial"/>
          <w:lang w:eastAsia="ro-RO"/>
        </w:rPr>
        <w:t xml:space="preserve"> de </w:t>
      </w:r>
      <w:proofErr w:type="spellStart"/>
      <w:r w:rsidRPr="008D4A4A">
        <w:rPr>
          <w:rFonts w:ascii="Trebuchet MS" w:hAnsi="Trebuchet MS" w:cs="Arial"/>
          <w:lang w:eastAsia="ro-RO"/>
        </w:rPr>
        <w:t>echipamente</w:t>
      </w:r>
      <w:proofErr w:type="spellEnd"/>
      <w:r w:rsidRPr="008D4A4A">
        <w:rPr>
          <w:rFonts w:ascii="Trebuchet MS" w:hAnsi="Trebuchet MS" w:cs="Arial"/>
          <w:lang w:eastAsia="ro-RO"/>
        </w:rPr>
        <w:t xml:space="preserve">, </w:t>
      </w:r>
      <w:proofErr w:type="spellStart"/>
      <w:r w:rsidRPr="008D4A4A">
        <w:rPr>
          <w:rFonts w:ascii="Trebuchet MS" w:hAnsi="Trebuchet MS" w:cs="Arial"/>
          <w:lang w:eastAsia="ro-RO"/>
        </w:rPr>
        <w:t>utilaje</w:t>
      </w:r>
      <w:proofErr w:type="spellEnd"/>
      <w:r w:rsidRPr="008D4A4A">
        <w:rPr>
          <w:rFonts w:ascii="Trebuchet MS" w:hAnsi="Trebuchet MS" w:cs="Arial"/>
          <w:lang w:eastAsia="ro-RO"/>
        </w:rPr>
        <w:t xml:space="preserve">, </w:t>
      </w:r>
      <w:proofErr w:type="spellStart"/>
      <w:r w:rsidRPr="008D4A4A">
        <w:rPr>
          <w:rFonts w:ascii="Trebuchet MS" w:hAnsi="Trebuchet MS" w:cs="Arial"/>
          <w:lang w:eastAsia="ro-RO"/>
        </w:rPr>
        <w:t>instalaţii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şi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tehnologii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necesare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reluării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activităţii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curente</w:t>
      </w:r>
      <w:proofErr w:type="spellEnd"/>
      <w:r w:rsidRPr="008D4A4A">
        <w:rPr>
          <w:rFonts w:ascii="Trebuchet MS" w:hAnsi="Trebuchet MS" w:cs="Arial"/>
          <w:lang w:eastAsia="ro-RO"/>
        </w:rPr>
        <w:t>/</w:t>
      </w:r>
      <w:proofErr w:type="spellStart"/>
      <w:r w:rsidRPr="008D4A4A">
        <w:rPr>
          <w:rFonts w:ascii="Trebuchet MS" w:hAnsi="Trebuchet MS" w:cs="Arial"/>
          <w:lang w:eastAsia="ro-RO"/>
        </w:rPr>
        <w:t>operaţionale</w:t>
      </w:r>
      <w:proofErr w:type="spellEnd"/>
      <w:r w:rsidRPr="008D4A4A">
        <w:rPr>
          <w:rFonts w:ascii="Trebuchet MS" w:hAnsi="Trebuchet MS" w:cs="Arial"/>
          <w:lang w:eastAsia="ro-RO"/>
        </w:rPr>
        <w:t>;</w:t>
      </w:r>
    </w:p>
    <w:p w14:paraId="7110A11C" w14:textId="77777777" w:rsidR="008D4A4A" w:rsidRPr="008D4A4A" w:rsidRDefault="008D4A4A" w:rsidP="008D4A4A">
      <w:pPr>
        <w:pStyle w:val="al"/>
        <w:spacing w:before="0" w:beforeAutospacing="0" w:after="0" w:afterAutospacing="0" w:line="276" w:lineRule="auto"/>
        <w:ind w:firstLine="720"/>
        <w:jc w:val="both"/>
        <w:rPr>
          <w:rFonts w:ascii="Trebuchet MS" w:hAnsi="Trebuchet MS" w:cs="Arial"/>
          <w:lang w:eastAsia="ro-RO"/>
        </w:rPr>
      </w:pPr>
      <w:r w:rsidRPr="008D4A4A">
        <w:rPr>
          <w:rFonts w:ascii="Trebuchet MS" w:hAnsi="Trebuchet MS" w:cs="Arial"/>
          <w:lang w:eastAsia="ro-RO"/>
        </w:rPr>
        <w:t xml:space="preserve">g) </w:t>
      </w:r>
      <w:proofErr w:type="spellStart"/>
      <w:r w:rsidRPr="008D4A4A">
        <w:rPr>
          <w:rFonts w:ascii="Trebuchet MS" w:hAnsi="Trebuchet MS" w:cs="Arial"/>
          <w:lang w:eastAsia="ro-RO"/>
        </w:rPr>
        <w:t>cheltuieli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privind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plata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datoriilor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către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bugetul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statului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şi</w:t>
      </w:r>
      <w:proofErr w:type="spellEnd"/>
      <w:r w:rsidRPr="008D4A4A">
        <w:rPr>
          <w:rFonts w:ascii="Trebuchet MS" w:hAnsi="Trebuchet MS" w:cs="Arial"/>
          <w:lang w:eastAsia="ro-RO"/>
        </w:rPr>
        <w:t xml:space="preserve"> </w:t>
      </w:r>
      <w:proofErr w:type="spellStart"/>
      <w:r w:rsidRPr="008D4A4A">
        <w:rPr>
          <w:rFonts w:ascii="Trebuchet MS" w:hAnsi="Trebuchet MS" w:cs="Arial"/>
          <w:lang w:eastAsia="ro-RO"/>
        </w:rPr>
        <w:t>bugetele</w:t>
      </w:r>
      <w:proofErr w:type="spellEnd"/>
      <w:r w:rsidRPr="008D4A4A">
        <w:rPr>
          <w:rFonts w:ascii="Trebuchet MS" w:hAnsi="Trebuchet MS" w:cs="Arial"/>
          <w:lang w:eastAsia="ro-RO"/>
        </w:rPr>
        <w:t xml:space="preserve"> locale.</w:t>
      </w:r>
    </w:p>
    <w:p w14:paraId="74581A39" w14:textId="77777777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72F2ED3F" w14:textId="372E2ED2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r w:rsidRPr="008D4A4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Înscrierile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pentru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măsura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„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Microgranturi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în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domeniul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agroalimentar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” 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încep</w:t>
      </w:r>
      <w:proofErr w:type="spellEnd"/>
      <w:proofErr w:type="gram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în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data de 27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mai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2022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și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se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vor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încheia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după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epuizarea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fondurilor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alocate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.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Cererile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se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finanțează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în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ordinea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depunerii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,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iar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ajutorul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financiar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nerambursabil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sub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formă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forfetară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este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în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valoare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 xml:space="preserve"> de 5.000 euro/</w:t>
      </w:r>
      <w:proofErr w:type="spellStart"/>
      <w:r w:rsidRPr="008D4A4A">
        <w:rPr>
          <w:rFonts w:ascii="Trebuchet MS" w:hAnsi="Trebuchet MS"/>
          <w:b/>
          <w:bCs/>
          <w:sz w:val="24"/>
          <w:szCs w:val="24"/>
          <w:u w:val="single"/>
        </w:rPr>
        <w:t>beneficiar</w:t>
      </w:r>
      <w:proofErr w:type="spellEnd"/>
      <w:r w:rsidRPr="008D4A4A">
        <w:rPr>
          <w:rFonts w:ascii="Trebuchet MS" w:hAnsi="Trebuchet MS"/>
          <w:b/>
          <w:bCs/>
          <w:sz w:val="24"/>
          <w:szCs w:val="24"/>
          <w:u w:val="single"/>
        </w:rPr>
        <w:t>.</w:t>
      </w:r>
    </w:p>
    <w:p w14:paraId="6C84837E" w14:textId="77777777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32B5717C" w14:textId="01C7123F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Ghidul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solicitantului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aferent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măsurii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8D4A4A">
        <w:rPr>
          <w:rFonts w:ascii="Trebuchet MS" w:hAnsi="Trebuchet MS"/>
          <w:sz w:val="24"/>
          <w:szCs w:val="24"/>
        </w:rPr>
        <w:t>Microgranturi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în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domeniul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agroalimentar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” fi </w:t>
      </w:r>
      <w:proofErr w:type="spellStart"/>
      <w:r w:rsidRPr="008D4A4A">
        <w:rPr>
          <w:rFonts w:ascii="Trebuchet MS" w:hAnsi="Trebuchet MS"/>
          <w:sz w:val="24"/>
          <w:szCs w:val="24"/>
        </w:rPr>
        <w:t>consultat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accesând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link-</w:t>
      </w:r>
      <w:proofErr w:type="spellStart"/>
      <w:r w:rsidRPr="008D4A4A">
        <w:rPr>
          <w:rFonts w:ascii="Trebuchet MS" w:hAnsi="Trebuchet MS"/>
          <w:sz w:val="24"/>
          <w:szCs w:val="24"/>
        </w:rPr>
        <w:t>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: </w:t>
      </w:r>
      <w:hyperlink r:id="rId6" w:history="1">
        <w:r w:rsidRPr="008D4A4A">
          <w:rPr>
            <w:rStyle w:val="Hyperlink"/>
            <w:rFonts w:ascii="Trebuchet MS" w:hAnsi="Trebuchet MS"/>
            <w:sz w:val="24"/>
            <w:szCs w:val="24"/>
          </w:rPr>
          <w:t>https://apia.org.ro/microgranturi-in-domeniul-agroalimentar/</w:t>
        </w:r>
      </w:hyperlink>
      <w:r w:rsidRPr="008D4A4A">
        <w:rPr>
          <w:rFonts w:ascii="Trebuchet MS" w:hAnsi="Trebuchet MS"/>
          <w:sz w:val="24"/>
          <w:szCs w:val="24"/>
        </w:rPr>
        <w:t>.</w:t>
      </w:r>
    </w:p>
    <w:p w14:paraId="75CF6D7F" w14:textId="77777777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31A89DF8" w14:textId="4D13BA33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Informații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privitoare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8D4A4A">
        <w:rPr>
          <w:rFonts w:ascii="Trebuchet MS" w:hAnsi="Trebuchet MS"/>
          <w:sz w:val="24"/>
          <w:szCs w:val="24"/>
        </w:rPr>
        <w:t>înscrierea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și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procedura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D4A4A">
        <w:rPr>
          <w:rFonts w:ascii="Trebuchet MS" w:hAnsi="Trebuchet MS"/>
          <w:sz w:val="24"/>
          <w:szCs w:val="24"/>
        </w:rPr>
        <w:t>accesare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8D4A4A">
        <w:rPr>
          <w:rFonts w:ascii="Trebuchet MS" w:hAnsi="Trebuchet MS"/>
          <w:sz w:val="24"/>
          <w:szCs w:val="24"/>
        </w:rPr>
        <w:t>măsurii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8D4A4A">
        <w:rPr>
          <w:rFonts w:ascii="Trebuchet MS" w:hAnsi="Trebuchet MS"/>
          <w:sz w:val="24"/>
          <w:szCs w:val="24"/>
        </w:rPr>
        <w:t>Granturi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pentru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capital de </w:t>
      </w:r>
      <w:proofErr w:type="spellStart"/>
      <w:r w:rsidRPr="008D4A4A">
        <w:rPr>
          <w:rFonts w:ascii="Trebuchet MS" w:hAnsi="Trebuchet MS"/>
          <w:sz w:val="24"/>
          <w:szCs w:val="24"/>
        </w:rPr>
        <w:t>lucru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acordate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entităților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8D4A4A">
        <w:rPr>
          <w:rFonts w:ascii="Trebuchet MS" w:hAnsi="Trebuchet MS"/>
          <w:sz w:val="24"/>
          <w:szCs w:val="24"/>
        </w:rPr>
        <w:t>domeniul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agroalimentar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”, </w:t>
      </w:r>
      <w:proofErr w:type="spellStart"/>
      <w:r w:rsidRPr="008D4A4A">
        <w:rPr>
          <w:rFonts w:ascii="Trebuchet MS" w:hAnsi="Trebuchet MS"/>
          <w:sz w:val="24"/>
          <w:szCs w:val="24"/>
        </w:rPr>
        <w:t>în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valoare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250 de </w:t>
      </w:r>
      <w:proofErr w:type="spellStart"/>
      <w:r w:rsidRPr="008D4A4A">
        <w:rPr>
          <w:rFonts w:ascii="Trebuchet MS" w:hAnsi="Trebuchet MS"/>
          <w:sz w:val="24"/>
          <w:szCs w:val="24"/>
        </w:rPr>
        <w:t>milioane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</w:t>
      </w:r>
      <w:proofErr w:type="gramStart"/>
      <w:r w:rsidRPr="008D4A4A">
        <w:rPr>
          <w:rFonts w:ascii="Trebuchet MS" w:hAnsi="Trebuchet MS"/>
          <w:sz w:val="24"/>
          <w:szCs w:val="24"/>
        </w:rPr>
        <w:t>euro,  din</w:t>
      </w:r>
      <w:proofErr w:type="gram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cadrul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schemei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D4A4A">
        <w:rPr>
          <w:rFonts w:ascii="Trebuchet MS" w:hAnsi="Trebuchet MS"/>
          <w:sz w:val="24"/>
          <w:szCs w:val="24"/>
        </w:rPr>
        <w:t>ajutor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de stat </w:t>
      </w:r>
      <w:proofErr w:type="spellStart"/>
      <w:r w:rsidRPr="008D4A4A">
        <w:rPr>
          <w:rFonts w:ascii="Trebuchet MS" w:hAnsi="Trebuchet MS"/>
          <w:sz w:val="24"/>
          <w:szCs w:val="24"/>
        </w:rPr>
        <w:t>instituită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prin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ORDONANȚA DE URGENȚĂ nr. 61 din 06 </w:t>
      </w:r>
      <w:proofErr w:type="spellStart"/>
      <w:r w:rsidRPr="008D4A4A">
        <w:rPr>
          <w:rFonts w:ascii="Trebuchet MS" w:hAnsi="Trebuchet MS"/>
          <w:sz w:val="24"/>
          <w:szCs w:val="24"/>
        </w:rPr>
        <w:t>mai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2022 sunt </w:t>
      </w:r>
      <w:proofErr w:type="spellStart"/>
      <w:r w:rsidRPr="008D4A4A">
        <w:rPr>
          <w:rFonts w:ascii="Trebuchet MS" w:hAnsi="Trebuchet MS"/>
          <w:sz w:val="24"/>
          <w:szCs w:val="24"/>
        </w:rPr>
        <w:t>disponibile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D4A4A">
        <w:rPr>
          <w:rFonts w:ascii="Trebuchet MS" w:hAnsi="Trebuchet MS"/>
          <w:sz w:val="24"/>
          <w:szCs w:val="24"/>
        </w:rPr>
        <w:t>accesând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 link-</w:t>
      </w:r>
      <w:proofErr w:type="spellStart"/>
      <w:r w:rsidRPr="008D4A4A">
        <w:rPr>
          <w:rFonts w:ascii="Trebuchet MS" w:hAnsi="Trebuchet MS"/>
          <w:sz w:val="24"/>
          <w:szCs w:val="24"/>
        </w:rPr>
        <w:t>ul</w:t>
      </w:r>
      <w:proofErr w:type="spellEnd"/>
      <w:r w:rsidRPr="008D4A4A">
        <w:rPr>
          <w:rFonts w:ascii="Trebuchet MS" w:hAnsi="Trebuchet MS"/>
          <w:sz w:val="24"/>
          <w:szCs w:val="24"/>
        </w:rPr>
        <w:t xml:space="preserve">: </w:t>
      </w:r>
      <w:hyperlink r:id="rId7" w:history="1">
        <w:r w:rsidRPr="008D4A4A">
          <w:rPr>
            <w:rStyle w:val="Hyperlink"/>
            <w:rFonts w:ascii="Trebuchet MS" w:hAnsi="Trebuchet MS"/>
            <w:sz w:val="24"/>
            <w:szCs w:val="24"/>
          </w:rPr>
          <w:t>http://turism.gov.ro/web/2022/05/24/anunt-lansarea-etapa-de-inscriere-si-procedura-granturi-pentru-capital-de-lucru-domeniul-agroalimentar-documente/?fbclid=IwAR3WMXd8FRHgYFwKCxX0OwO99FnRVHEkK6LW2dw4hLBvYiScvwVbN3tUO_s</w:t>
        </w:r>
      </w:hyperlink>
      <w:r w:rsidRPr="008D4A4A">
        <w:rPr>
          <w:rFonts w:ascii="Trebuchet MS" w:hAnsi="Trebuchet MS"/>
          <w:sz w:val="24"/>
          <w:szCs w:val="24"/>
        </w:rPr>
        <w:t>.</w:t>
      </w:r>
    </w:p>
    <w:p w14:paraId="2CC0FE40" w14:textId="77777777" w:rsidR="008D4A4A" w:rsidRPr="008D4A4A" w:rsidRDefault="008D4A4A" w:rsidP="008D4A4A">
      <w:pPr>
        <w:pStyle w:val="PlainText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635C14F4" w14:textId="33BC1C3C" w:rsidR="008D4A4A" w:rsidRPr="008D4A4A" w:rsidRDefault="008D4A4A" w:rsidP="008D4A4A">
      <w:pPr>
        <w:pStyle w:val="NormalWeb"/>
        <w:spacing w:after="0" w:afterAutospacing="0" w:line="276" w:lineRule="auto"/>
        <w:ind w:firstLine="720"/>
        <w:jc w:val="both"/>
        <w:rPr>
          <w:rFonts w:ascii="Trebuchet MS" w:hAnsi="Trebuchet MS" w:cs="Arial"/>
          <w:b/>
          <w:bCs/>
          <w:lang w:eastAsia="en-GB"/>
        </w:rPr>
      </w:pPr>
      <w:r w:rsidRPr="008D4A4A">
        <w:rPr>
          <w:rFonts w:ascii="Trebuchet MS" w:hAnsi="Trebuchet MS"/>
        </w:rPr>
        <w:t xml:space="preserve"> </w:t>
      </w:r>
      <w:proofErr w:type="spellStart"/>
      <w:r w:rsidRPr="008D4A4A">
        <w:rPr>
          <w:rFonts w:ascii="Trebuchet MS" w:hAnsi="Trebuchet MS"/>
          <w:b/>
          <w:bCs/>
        </w:rPr>
        <w:t>Pentru</w:t>
      </w:r>
      <w:proofErr w:type="spellEnd"/>
      <w:r w:rsidRPr="008D4A4A">
        <w:rPr>
          <w:rFonts w:ascii="Trebuchet MS" w:hAnsi="Trebuchet MS"/>
          <w:b/>
          <w:bCs/>
        </w:rPr>
        <w:t xml:space="preserve"> </w:t>
      </w:r>
      <w:proofErr w:type="spellStart"/>
      <w:r w:rsidRPr="008D4A4A">
        <w:rPr>
          <w:rFonts w:ascii="Trebuchet MS" w:hAnsi="Trebuchet MS"/>
          <w:b/>
          <w:bCs/>
        </w:rPr>
        <w:t>informații</w:t>
      </w:r>
      <w:proofErr w:type="spellEnd"/>
      <w:r w:rsidRPr="008D4A4A">
        <w:rPr>
          <w:rFonts w:ascii="Trebuchet MS" w:hAnsi="Trebuchet MS"/>
          <w:b/>
          <w:bCs/>
        </w:rPr>
        <w:t xml:space="preserve"> </w:t>
      </w:r>
      <w:proofErr w:type="spellStart"/>
      <w:r w:rsidRPr="008D4A4A">
        <w:rPr>
          <w:rFonts w:ascii="Trebuchet MS" w:hAnsi="Trebuchet MS"/>
          <w:b/>
          <w:bCs/>
        </w:rPr>
        <w:t>suplimentare</w:t>
      </w:r>
      <w:proofErr w:type="spellEnd"/>
      <w:r w:rsidRPr="008D4A4A">
        <w:rPr>
          <w:rFonts w:ascii="Trebuchet MS" w:hAnsi="Trebuchet MS"/>
          <w:b/>
          <w:bCs/>
        </w:rPr>
        <w:t>/</w:t>
      </w:r>
      <w:proofErr w:type="spellStart"/>
      <w:r w:rsidRPr="008D4A4A">
        <w:rPr>
          <w:rFonts w:ascii="Trebuchet MS" w:hAnsi="Trebuchet MS"/>
          <w:b/>
          <w:bCs/>
        </w:rPr>
        <w:t>clarificări</w:t>
      </w:r>
      <w:proofErr w:type="spellEnd"/>
      <w:r w:rsidRPr="008D4A4A">
        <w:rPr>
          <w:rFonts w:ascii="Trebuchet MS" w:hAnsi="Trebuchet MS"/>
          <w:b/>
          <w:bCs/>
        </w:rPr>
        <w:t xml:space="preserve"> </w:t>
      </w:r>
      <w:proofErr w:type="spellStart"/>
      <w:r w:rsidRPr="008D4A4A">
        <w:rPr>
          <w:rFonts w:ascii="Trebuchet MS" w:hAnsi="Trebuchet MS"/>
          <w:b/>
          <w:bCs/>
        </w:rPr>
        <w:t>vă</w:t>
      </w:r>
      <w:proofErr w:type="spellEnd"/>
      <w:r w:rsidRPr="008D4A4A">
        <w:rPr>
          <w:rFonts w:ascii="Trebuchet MS" w:hAnsi="Trebuchet MS"/>
          <w:b/>
          <w:bCs/>
        </w:rPr>
        <w:t xml:space="preserve"> </w:t>
      </w:r>
      <w:proofErr w:type="spellStart"/>
      <w:r w:rsidRPr="008D4A4A">
        <w:rPr>
          <w:rFonts w:ascii="Trebuchet MS" w:hAnsi="Trebuchet MS"/>
          <w:b/>
          <w:bCs/>
        </w:rPr>
        <w:t>rugăm</w:t>
      </w:r>
      <w:proofErr w:type="spellEnd"/>
      <w:r w:rsidRPr="008D4A4A">
        <w:rPr>
          <w:rFonts w:ascii="Trebuchet MS" w:hAnsi="Trebuchet MS"/>
          <w:b/>
          <w:bCs/>
        </w:rPr>
        <w:t xml:space="preserve"> </w:t>
      </w:r>
      <w:proofErr w:type="spellStart"/>
      <w:r w:rsidRPr="008D4A4A">
        <w:rPr>
          <w:rFonts w:ascii="Trebuchet MS" w:hAnsi="Trebuchet MS"/>
          <w:b/>
          <w:bCs/>
        </w:rPr>
        <w:t>să</w:t>
      </w:r>
      <w:proofErr w:type="spellEnd"/>
      <w:r w:rsidRPr="008D4A4A">
        <w:rPr>
          <w:rFonts w:ascii="Trebuchet MS" w:hAnsi="Trebuchet MS"/>
          <w:b/>
          <w:bCs/>
        </w:rPr>
        <w:t xml:space="preserve"> </w:t>
      </w:r>
      <w:proofErr w:type="spellStart"/>
      <w:r w:rsidRPr="008D4A4A">
        <w:rPr>
          <w:rFonts w:ascii="Trebuchet MS" w:hAnsi="Trebuchet MS"/>
          <w:b/>
          <w:bCs/>
        </w:rPr>
        <w:t>transmiteți</w:t>
      </w:r>
      <w:proofErr w:type="spellEnd"/>
      <w:r w:rsidRPr="008D4A4A">
        <w:rPr>
          <w:rFonts w:ascii="Trebuchet MS" w:hAnsi="Trebuchet MS"/>
          <w:b/>
          <w:bCs/>
        </w:rPr>
        <w:t xml:space="preserve"> </w:t>
      </w:r>
      <w:proofErr w:type="spellStart"/>
      <w:r w:rsidRPr="008D4A4A">
        <w:rPr>
          <w:rFonts w:ascii="Trebuchet MS" w:hAnsi="Trebuchet MS"/>
          <w:b/>
          <w:bCs/>
        </w:rPr>
        <w:t>solicitări</w:t>
      </w:r>
      <w:proofErr w:type="spellEnd"/>
      <w:r w:rsidRPr="008D4A4A">
        <w:rPr>
          <w:rFonts w:ascii="Trebuchet MS" w:hAnsi="Trebuchet MS"/>
          <w:b/>
          <w:bCs/>
        </w:rPr>
        <w:t xml:space="preserve"> de </w:t>
      </w:r>
      <w:proofErr w:type="spellStart"/>
      <w:r w:rsidRPr="008D4A4A">
        <w:rPr>
          <w:rFonts w:ascii="Trebuchet MS" w:hAnsi="Trebuchet MS"/>
          <w:b/>
          <w:bCs/>
        </w:rPr>
        <w:t>suport</w:t>
      </w:r>
      <w:proofErr w:type="spellEnd"/>
      <w:r w:rsidRPr="008D4A4A">
        <w:rPr>
          <w:rFonts w:ascii="Trebuchet MS" w:hAnsi="Trebuchet MS"/>
          <w:b/>
          <w:bCs/>
        </w:rPr>
        <w:t xml:space="preserve"> la </w:t>
      </w:r>
      <w:proofErr w:type="spellStart"/>
      <w:r w:rsidRPr="008D4A4A">
        <w:rPr>
          <w:rFonts w:ascii="Trebuchet MS" w:hAnsi="Trebuchet MS"/>
          <w:b/>
          <w:bCs/>
        </w:rPr>
        <w:t>adresa</w:t>
      </w:r>
      <w:proofErr w:type="spellEnd"/>
      <w:r w:rsidRPr="008D4A4A">
        <w:rPr>
          <w:rFonts w:ascii="Trebuchet MS" w:hAnsi="Trebuchet MS"/>
          <w:b/>
          <w:bCs/>
        </w:rPr>
        <w:t xml:space="preserve"> de e-mail: </w:t>
      </w:r>
      <w:hyperlink r:id="rId8" w:history="1">
        <w:r w:rsidRPr="008D4A4A">
          <w:rPr>
            <w:rStyle w:val="Hyperlink"/>
            <w:rFonts w:ascii="Trebuchet MS" w:hAnsi="Trebuchet MS"/>
            <w:b/>
            <w:bCs/>
          </w:rPr>
          <w:t>suport.oug61micro@apia.org.ro</w:t>
        </w:r>
      </w:hyperlink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sau</w:t>
      </w:r>
      <w:proofErr w:type="spellEnd"/>
      <w:r>
        <w:rPr>
          <w:rFonts w:ascii="Trebuchet MS" w:hAnsi="Trebuchet MS"/>
          <w:b/>
          <w:bCs/>
        </w:rPr>
        <w:t xml:space="preserve"> să </w:t>
      </w:r>
      <w:r w:rsidRPr="008D4A4A">
        <w:rPr>
          <w:rFonts w:ascii="Trebuchet MS" w:hAnsi="Trebuchet MS"/>
          <w:b/>
          <w:bCs/>
        </w:rPr>
        <w:t>contactați Centrul Județean APIA Bacău la n</w:t>
      </w:r>
      <w:r w:rsidR="00CA28EE">
        <w:rPr>
          <w:rFonts w:ascii="Trebuchet MS" w:hAnsi="Trebuchet MS"/>
          <w:b/>
          <w:bCs/>
        </w:rPr>
        <w:t>umerele de telefon</w:t>
      </w:r>
      <w:r w:rsidRPr="008D4A4A">
        <w:rPr>
          <w:rFonts w:ascii="Trebuchet MS" w:hAnsi="Trebuchet MS"/>
          <w:b/>
          <w:bCs/>
        </w:rPr>
        <w:t xml:space="preserve"> 0725255445 sau 0234/512974, interior 111, 112 sau 115. </w:t>
      </w:r>
    </w:p>
    <w:p w14:paraId="4F3105A9" w14:textId="77777777" w:rsidR="008D4A4A" w:rsidRPr="008D4A4A" w:rsidRDefault="008D4A4A" w:rsidP="008D4A4A">
      <w:pPr>
        <w:pStyle w:val="NormalWeb"/>
        <w:spacing w:after="0" w:afterAutospacing="0" w:line="276" w:lineRule="auto"/>
        <w:ind w:firstLine="720"/>
        <w:jc w:val="both"/>
        <w:rPr>
          <w:rFonts w:ascii="Trebuchet MS" w:hAnsi="Trebuchet MS" w:cs="Arial"/>
          <w:b/>
          <w:bCs/>
        </w:rPr>
      </w:pPr>
      <w:r w:rsidRPr="008D4A4A">
        <w:rPr>
          <w:rFonts w:ascii="Trebuchet MS" w:hAnsi="Trebuchet MS" w:cs="Arial"/>
          <w:b/>
          <w:bCs/>
        </w:rPr>
        <w:t xml:space="preserve">Ajutorul de stat se acorda după regula  „primul venit primul servit”. </w:t>
      </w:r>
    </w:p>
    <w:p w14:paraId="3A3DA793" w14:textId="5FCEA5C1" w:rsidR="008D4A4A" w:rsidRDefault="008D4A4A" w:rsidP="008D4A4A">
      <w:pPr>
        <w:spacing w:before="240" w:after="0"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</w:pPr>
      <w:r w:rsidRPr="008D4A4A"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  <w:t xml:space="preserve">APIA, </w:t>
      </w:r>
      <w:proofErr w:type="spellStart"/>
      <w:r w:rsidRPr="008D4A4A"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  <w:t>mereu</w:t>
      </w:r>
      <w:proofErr w:type="spellEnd"/>
      <w:r w:rsidRPr="008D4A4A"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  <w:t xml:space="preserve"> </w:t>
      </w:r>
      <w:proofErr w:type="spellStart"/>
      <w:r w:rsidRPr="008D4A4A"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  <w:t>alături</w:t>
      </w:r>
      <w:proofErr w:type="spellEnd"/>
      <w:r w:rsidRPr="008D4A4A"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  <w:t xml:space="preserve"> de </w:t>
      </w:r>
      <w:proofErr w:type="spellStart"/>
      <w:proofErr w:type="gramStart"/>
      <w:r w:rsidRPr="008D4A4A"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  <w:t>fermieri</w:t>
      </w:r>
      <w:proofErr w:type="spellEnd"/>
      <w:r w:rsidRPr="008D4A4A"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  <w:t>!</w:t>
      </w:r>
      <w:proofErr w:type="gramEnd"/>
    </w:p>
    <w:p w14:paraId="15B9D095" w14:textId="77777777" w:rsidR="008D4A4A" w:rsidRPr="008D4A4A" w:rsidRDefault="008D4A4A" w:rsidP="008D4A4A">
      <w:pPr>
        <w:spacing w:before="240" w:after="0"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</w:pPr>
    </w:p>
    <w:p w14:paraId="6A528D4A" w14:textId="77777777" w:rsidR="008D4A4A" w:rsidRPr="008D4A4A" w:rsidRDefault="008D4A4A" w:rsidP="008D4A4A">
      <w:pPr>
        <w:tabs>
          <w:tab w:val="left" w:pos="4215"/>
        </w:tabs>
        <w:spacing w:after="0" w:line="276" w:lineRule="auto"/>
        <w:jc w:val="both"/>
        <w:outlineLvl w:val="0"/>
        <w:rPr>
          <w:rFonts w:ascii="Trebuchet MS" w:hAnsi="Trebuchet MS" w:cs="Times New Roman"/>
          <w:b/>
          <w:color w:val="000000" w:themeColor="text1"/>
          <w:sz w:val="24"/>
          <w:szCs w:val="24"/>
          <w:lang w:val="it-IT"/>
        </w:rPr>
      </w:pPr>
    </w:p>
    <w:p w14:paraId="7C033662" w14:textId="77777777" w:rsidR="008D4A4A" w:rsidRPr="008D4A4A" w:rsidRDefault="008D4A4A" w:rsidP="008D4A4A">
      <w:pPr>
        <w:tabs>
          <w:tab w:val="left" w:pos="4215"/>
        </w:tabs>
        <w:spacing w:after="0" w:line="276" w:lineRule="auto"/>
        <w:jc w:val="center"/>
        <w:outlineLvl w:val="0"/>
        <w:rPr>
          <w:rFonts w:ascii="Trebuchet MS" w:hAnsi="Trebuchet MS" w:cs="Times New Roman"/>
          <w:b/>
          <w:color w:val="000000" w:themeColor="text1"/>
          <w:sz w:val="24"/>
          <w:szCs w:val="24"/>
          <w:lang w:val="it-IT"/>
        </w:rPr>
      </w:pPr>
      <w:r w:rsidRPr="008D4A4A">
        <w:rPr>
          <w:rFonts w:ascii="Trebuchet MS" w:hAnsi="Trebuchet MS" w:cs="Times New Roman"/>
          <w:b/>
          <w:color w:val="000000" w:themeColor="text1"/>
          <w:sz w:val="24"/>
          <w:szCs w:val="24"/>
          <w:lang w:val="it-IT"/>
        </w:rPr>
        <w:t>AGENȚIA DE PLĂȚI ȘI INTERVENȚIE PENTRU AGRICULTURĂ</w:t>
      </w:r>
    </w:p>
    <w:p w14:paraId="2627A012" w14:textId="10211C8A" w:rsidR="002C6C3B" w:rsidRPr="008D4A4A" w:rsidRDefault="008D4A4A" w:rsidP="008D4A4A">
      <w:pPr>
        <w:tabs>
          <w:tab w:val="left" w:pos="3645"/>
        </w:tabs>
        <w:spacing w:after="0" w:line="276" w:lineRule="auto"/>
        <w:jc w:val="center"/>
        <w:rPr>
          <w:rFonts w:ascii="Trebuchet MS" w:hAnsi="Trebuchet MS" w:cs="Times New Roman"/>
          <w:b/>
          <w:color w:val="000000" w:themeColor="text1"/>
          <w:sz w:val="24"/>
          <w:szCs w:val="24"/>
          <w:lang w:val="it-IT"/>
        </w:rPr>
      </w:pPr>
      <w:r w:rsidRPr="008D4A4A">
        <w:rPr>
          <w:rFonts w:ascii="Trebuchet MS" w:hAnsi="Trebuchet MS" w:cs="Times New Roman"/>
          <w:b/>
          <w:color w:val="000000" w:themeColor="text1"/>
          <w:sz w:val="24"/>
          <w:szCs w:val="24"/>
          <w:lang w:val="it-IT"/>
        </w:rPr>
        <w:t>CENTRUL JUDEȚEAN BACĂU</w:t>
      </w:r>
    </w:p>
    <w:sectPr w:rsidR="002C6C3B" w:rsidRPr="008D4A4A" w:rsidSect="008D4A4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4A"/>
    <w:rsid w:val="002C6C3B"/>
    <w:rsid w:val="00322FE9"/>
    <w:rsid w:val="008D4A4A"/>
    <w:rsid w:val="00C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8A1F"/>
  <w15:chartTrackingRefBased/>
  <w15:docId w15:val="{ED3814A1-833A-4252-9185-111590D9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4A4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4A4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4A4A"/>
    <w:rPr>
      <w:rFonts w:ascii="Calibri" w:hAnsi="Calibri"/>
      <w:szCs w:val="21"/>
    </w:rPr>
  </w:style>
  <w:style w:type="paragraph" w:customStyle="1" w:styleId="al">
    <w:name w:val="a_l"/>
    <w:basedOn w:val="Normal"/>
    <w:rsid w:val="008D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 Char,Normal (Web) Char Char1"/>
    <w:link w:val="NormalWeb"/>
    <w:uiPriority w:val="99"/>
    <w:locked/>
    <w:rsid w:val="008D4A4A"/>
    <w:rPr>
      <w:sz w:val="24"/>
      <w:szCs w:val="24"/>
      <w:lang w:val="ro-RO" w:eastAsia="ro-RO"/>
    </w:rPr>
  </w:style>
  <w:style w:type="paragraph" w:styleId="NormalWeb">
    <w:name w:val="Normal (Web)"/>
    <w:aliases w:val="Normal (Web) Char Char,Normal (Web) Char"/>
    <w:basedOn w:val="Normal"/>
    <w:link w:val="NormalWebChar1"/>
    <w:uiPriority w:val="99"/>
    <w:unhideWhenUsed/>
    <w:rsid w:val="008D4A4A"/>
    <w:pPr>
      <w:spacing w:before="100" w:beforeAutospacing="1" w:after="100" w:afterAutospacing="1" w:line="240" w:lineRule="auto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ort.oug61micro@apia.org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urism.gov.ro/web/2022/05/24/anunt-lansarea-etapa-de-inscriere-si-procedura-granturi-pentru-capital-de-lucru-domeniul-agroalimentar-documente/?fbclid=IwAR3WMXd8FRHgYFwKCxX0OwO99FnRVHEkK6LW2dw4hLBvYiScvwVbN3tUO_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ia.org.ro/microgranturi-in-domeniul-agroalimentar/" TargetMode="External"/><Relationship Id="rId5" Type="http://schemas.openxmlformats.org/officeDocument/2006/relationships/hyperlink" Target="http://lege5.ro/App/Document/geytcnzvhaydo/ordonanta-de-urgenta-nr-61-2022-privind-unele-masuri-pentru-acordarea-de-microgranturi-si-granturi-pentru-capital-de-lucru-entitatilor-din-domeniul-agroalimentar-cu-finantare-din-fonduri-externe-neram?pid=464833094&amp;d=2022-05-2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Iacobeanu</dc:creator>
  <cp:keywords/>
  <dc:description/>
  <cp:lastModifiedBy>Raluca Iacobeanu</cp:lastModifiedBy>
  <cp:revision>2</cp:revision>
  <dcterms:created xsi:type="dcterms:W3CDTF">2022-05-26T05:13:00Z</dcterms:created>
  <dcterms:modified xsi:type="dcterms:W3CDTF">2022-05-26T05:55:00Z</dcterms:modified>
</cp:coreProperties>
</file>